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4D3" w:rsidRPr="001354D3" w:rsidRDefault="00DB3A79" w:rsidP="00C601D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54D3">
        <w:rPr>
          <w:rFonts w:ascii="Times New Roman" w:hAnsi="Times New Roman" w:cs="Times New Roman"/>
          <w:b/>
          <w:sz w:val="28"/>
          <w:szCs w:val="28"/>
          <w:lang w:val="uk-UA"/>
        </w:rPr>
        <w:t>Документи, що необхідні для відкриття рахунку, умови та порядок надання банківської послуги</w:t>
      </w:r>
    </w:p>
    <w:p w:rsidR="001354D3" w:rsidRPr="001354D3" w:rsidRDefault="00DB3A79" w:rsidP="005906CB">
      <w:pPr>
        <w:spacing w:after="12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354D3">
        <w:rPr>
          <w:rFonts w:ascii="Times New Roman" w:hAnsi="Times New Roman" w:cs="Times New Roman"/>
          <w:sz w:val="28"/>
          <w:szCs w:val="28"/>
          <w:u w:val="single"/>
          <w:lang w:val="uk-UA"/>
        </w:rPr>
        <w:t>Для відкриття депозитного потрібні наступні документи:</w:t>
      </w:r>
    </w:p>
    <w:p w:rsidR="001354D3" w:rsidRDefault="00DB3A79" w:rsidP="001354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1354D3">
        <w:rPr>
          <w:rFonts w:ascii="Times New Roman" w:hAnsi="Times New Roman" w:cs="Times New Roman"/>
          <w:b/>
          <w:sz w:val="28"/>
          <w:szCs w:val="28"/>
          <w:lang w:val="uk-UA"/>
        </w:rPr>
        <w:t>Паспорт громадянина України</w:t>
      </w: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 в тому числі виготовлений у форматі ID-картки, свідоцтво про народження або інший документ, що посвідчує малолітню/неповнолітню особу (для малолітніх, неповнолітніх фізичних осіб, які одержують спеціальні виплати) або інший документ, що посвідчує особу </w:t>
      </w:r>
      <w:r w:rsidR="000D65BF">
        <w:rPr>
          <w:rFonts w:ascii="Times New Roman" w:hAnsi="Times New Roman" w:cs="Times New Roman"/>
          <w:sz w:val="28"/>
          <w:szCs w:val="28"/>
          <w:lang w:val="uk-UA"/>
        </w:rPr>
        <w:t>клієнта</w:t>
      </w: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 (довіреної особи), та відповідно до законодавства України може бути використаним на території України для укладення правочинів. </w:t>
      </w:r>
    </w:p>
    <w:p w:rsidR="001354D3" w:rsidRDefault="00DB3A79" w:rsidP="005906CB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1354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Документ, що містить реєстраційний номер облікової картки платника податків України </w:t>
      </w: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(або ідентифікаційний номер згідно з Державним реєстром фізичних осіб - платників податків) (за наявності) </w:t>
      </w:r>
    </w:p>
    <w:p w:rsidR="001354D3" w:rsidRDefault="00DB3A79" w:rsidP="001354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4D3">
        <w:rPr>
          <w:rFonts w:ascii="Times New Roman" w:hAnsi="Times New Roman" w:cs="Times New Roman"/>
          <w:sz w:val="28"/>
          <w:szCs w:val="28"/>
          <w:u w:val="single"/>
          <w:lang w:val="uk-UA"/>
        </w:rPr>
        <w:t>У відділенні оформлюються наступні документи:</w:t>
      </w: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54D3" w:rsidRDefault="00DB3A79" w:rsidP="001354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1. Договір про відкриття банківського вкладу </w:t>
      </w:r>
    </w:p>
    <w:p w:rsidR="001354D3" w:rsidRDefault="00DB3A79" w:rsidP="001354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2. Опитувальник фізичної особи. </w:t>
      </w:r>
    </w:p>
    <w:p w:rsidR="001354D3" w:rsidRDefault="001354D3" w:rsidP="001354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B3A79" w:rsidRPr="001354D3">
        <w:rPr>
          <w:rFonts w:ascii="Times New Roman" w:hAnsi="Times New Roman" w:cs="Times New Roman"/>
          <w:sz w:val="28"/>
          <w:szCs w:val="28"/>
          <w:lang w:val="uk-UA"/>
        </w:rPr>
        <w:t>. Додатково формуються документи для відкриття рахунку 2620 для зарахування суми вкладу та нарахованих процентів</w:t>
      </w:r>
      <w:r w:rsidR="000A14F8">
        <w:rPr>
          <w:rFonts w:ascii="Times New Roman" w:hAnsi="Times New Roman" w:cs="Times New Roman"/>
          <w:sz w:val="28"/>
          <w:szCs w:val="28"/>
          <w:lang w:val="uk-UA"/>
        </w:rPr>
        <w:t xml:space="preserve"> (в разі відсутності)</w:t>
      </w:r>
      <w:r w:rsidR="00DB3A79"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354D3" w:rsidRDefault="00DB3A79" w:rsidP="001354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Додаткову інформацію по рахунку можна отримати за посиланням </w:t>
      </w:r>
    </w:p>
    <w:p w:rsidR="001354D3" w:rsidRDefault="003553A0" w:rsidP="001354D3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135D32" w:rsidRPr="008665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</w:t>
        </w:r>
        <w:r w:rsidR="00135D32" w:rsidRPr="0086651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135D32" w:rsidRPr="008665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://www.nexentbank.com.ua/</w:t>
        </w:r>
        <w:r w:rsidR="007B60B7" w:rsidRPr="007B60B7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приватним-клієнтам/potochnii-rakhunok/</w:t>
        </w:r>
      </w:hyperlink>
      <w:bookmarkStart w:id="0" w:name="_GoBack"/>
      <w:bookmarkEnd w:id="0"/>
      <w:r w:rsidR="00135D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19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3A79"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– поточний рахунок; </w:t>
      </w:r>
    </w:p>
    <w:p w:rsidR="001354D3" w:rsidRDefault="001354D3" w:rsidP="001354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B3A79"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. Ознайомлення із довідкою про систему гарантування вкладів фізичних осіб. </w:t>
      </w:r>
    </w:p>
    <w:p w:rsidR="00EA02E1" w:rsidRDefault="00DB3A79" w:rsidP="001354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Всі документи, які необхідні для відкриття та обслуговування рахунку, формуються співробітником відділення у присутності клієнта. </w:t>
      </w:r>
    </w:p>
    <w:p w:rsidR="001354D3" w:rsidRDefault="00DB3A79" w:rsidP="001354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Проценти, що нараховані на суму вкладу оподатковуються відповідно до вимог Податкового Кодексу України. </w:t>
      </w:r>
    </w:p>
    <w:p w:rsidR="003F1473" w:rsidRDefault="00DB3A79" w:rsidP="001354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Вид вкладу (депозиту) обирається вкладником самостійно з переліку вкладів, оприлюднених на офіційному </w:t>
      </w:r>
      <w:r w:rsidR="001354D3">
        <w:rPr>
          <w:rFonts w:ascii="Times New Roman" w:hAnsi="Times New Roman" w:cs="Times New Roman"/>
          <w:sz w:val="28"/>
          <w:szCs w:val="28"/>
          <w:lang w:val="uk-UA"/>
        </w:rPr>
        <w:t xml:space="preserve">сайті </w:t>
      </w:r>
      <w:r w:rsidR="00045519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354D3">
        <w:rPr>
          <w:rFonts w:ascii="Times New Roman" w:hAnsi="Times New Roman" w:cs="Times New Roman"/>
          <w:sz w:val="28"/>
          <w:szCs w:val="28"/>
          <w:lang w:val="uk-UA"/>
        </w:rPr>
        <w:t>анку</w:t>
      </w:r>
      <w:r w:rsidR="00045519">
        <w:rPr>
          <w:rFonts w:ascii="Times New Roman" w:hAnsi="Times New Roman" w:cs="Times New Roman"/>
          <w:sz w:val="28"/>
          <w:szCs w:val="28"/>
          <w:lang w:val="uk-UA"/>
        </w:rPr>
        <w:t xml:space="preserve"> або у відділенні Б</w:t>
      </w: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анку та визначається наступними критеріями: </w:t>
      </w:r>
    </w:p>
    <w:p w:rsidR="003F1473" w:rsidRDefault="00DB3A79" w:rsidP="001354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• сума </w:t>
      </w:r>
      <w:r w:rsidR="0004551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кладу; </w:t>
      </w:r>
    </w:p>
    <w:p w:rsidR="003F1473" w:rsidRDefault="00DB3A79" w:rsidP="001354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• валюта </w:t>
      </w:r>
      <w:r w:rsidR="0004551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кладу; </w:t>
      </w:r>
    </w:p>
    <w:p w:rsidR="003F1473" w:rsidRDefault="00DB3A79" w:rsidP="001354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• строк розміщення </w:t>
      </w:r>
      <w:r w:rsidR="0004551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кладу (для строкових вкладів); </w:t>
      </w:r>
    </w:p>
    <w:p w:rsidR="003F1473" w:rsidRDefault="00DB3A79" w:rsidP="001354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• розмір процентної ставки за </w:t>
      </w:r>
      <w:r w:rsidR="0004551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кладом; </w:t>
      </w:r>
    </w:p>
    <w:p w:rsidR="003F1473" w:rsidRDefault="00DB3A79" w:rsidP="001354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4D3">
        <w:rPr>
          <w:rFonts w:ascii="Times New Roman" w:hAnsi="Times New Roman" w:cs="Times New Roman"/>
          <w:sz w:val="28"/>
          <w:szCs w:val="28"/>
          <w:lang w:val="uk-UA"/>
        </w:rPr>
        <w:t>Зарахування/внесення/повернення вкладу на рахунок, нарахованих процентів здійснюється з власног</w:t>
      </w:r>
      <w:r w:rsidR="00EA02E1">
        <w:rPr>
          <w:rFonts w:ascii="Times New Roman" w:hAnsi="Times New Roman" w:cs="Times New Roman"/>
          <w:sz w:val="28"/>
          <w:szCs w:val="28"/>
          <w:lang w:val="uk-UA"/>
        </w:rPr>
        <w:t>о поточного, відкритого в Банку.</w:t>
      </w:r>
    </w:p>
    <w:p w:rsidR="003F1473" w:rsidRDefault="00DB3A79" w:rsidP="001354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Виплата нарахованих процентів за вкладом здійснюється в кінці терміну дії вкладу. Виплата нарахованих процентів та суми вкладу з поточних рахунків здійснюється </w:t>
      </w:r>
      <w:r w:rsidR="00045519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1354D3">
        <w:rPr>
          <w:rFonts w:ascii="Times New Roman" w:hAnsi="Times New Roman" w:cs="Times New Roman"/>
          <w:sz w:val="28"/>
          <w:szCs w:val="28"/>
          <w:lang w:val="uk-UA"/>
        </w:rPr>
        <w:t>анком протягом операц</w:t>
      </w:r>
      <w:r w:rsidR="00EA02E1">
        <w:rPr>
          <w:rFonts w:ascii="Times New Roman" w:hAnsi="Times New Roman" w:cs="Times New Roman"/>
          <w:sz w:val="28"/>
          <w:szCs w:val="28"/>
          <w:lang w:val="uk-UA"/>
        </w:rPr>
        <w:t>ійного часу у відділеннях Банку.</w:t>
      </w:r>
    </w:p>
    <w:p w:rsidR="00275FE5" w:rsidRPr="00536BA9" w:rsidRDefault="00DB3A79" w:rsidP="001354D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В разі закінчення строку розміщення </w:t>
      </w:r>
      <w:r w:rsidR="0004551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кладу, зазначеного в Договорі </w:t>
      </w:r>
      <w:r w:rsidR="003F1473">
        <w:rPr>
          <w:rFonts w:ascii="Times New Roman" w:hAnsi="Times New Roman" w:cs="Times New Roman"/>
          <w:sz w:val="28"/>
          <w:szCs w:val="28"/>
          <w:lang w:val="uk-UA"/>
        </w:rPr>
        <w:t>про строковий банківський</w:t>
      </w: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 вклад</w:t>
      </w:r>
      <w:r w:rsidR="0004551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551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354D3">
        <w:rPr>
          <w:rFonts w:ascii="Times New Roman" w:hAnsi="Times New Roman" w:cs="Times New Roman"/>
          <w:sz w:val="28"/>
          <w:szCs w:val="28"/>
          <w:lang w:val="uk-UA"/>
        </w:rPr>
        <w:t>клад</w:t>
      </w:r>
      <w:r w:rsidR="00045519">
        <w:rPr>
          <w:rFonts w:ascii="Times New Roman" w:hAnsi="Times New Roman" w:cs="Times New Roman"/>
          <w:sz w:val="28"/>
          <w:szCs w:val="28"/>
          <w:lang w:val="uk-UA"/>
        </w:rPr>
        <w:t xml:space="preserve"> та нараховані проценти</w:t>
      </w: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 виплачується </w:t>
      </w:r>
      <w:r w:rsidR="0004551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354D3">
        <w:rPr>
          <w:rFonts w:ascii="Times New Roman" w:hAnsi="Times New Roman" w:cs="Times New Roman"/>
          <w:sz w:val="28"/>
          <w:szCs w:val="28"/>
          <w:lang w:val="uk-UA"/>
        </w:rPr>
        <w:t xml:space="preserve">кладнику шляхом зарахування на </w:t>
      </w:r>
      <w:r w:rsidR="0004551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354D3">
        <w:rPr>
          <w:rFonts w:ascii="Times New Roman" w:hAnsi="Times New Roman" w:cs="Times New Roman"/>
          <w:sz w:val="28"/>
          <w:szCs w:val="28"/>
          <w:lang w:val="uk-UA"/>
        </w:rPr>
        <w:t>оточний рахуно</w:t>
      </w:r>
      <w:r w:rsidR="00536BA9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r w:rsidR="0004551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36BA9">
        <w:rPr>
          <w:rFonts w:ascii="Times New Roman" w:hAnsi="Times New Roman" w:cs="Times New Roman"/>
          <w:sz w:val="28"/>
          <w:szCs w:val="28"/>
          <w:lang w:val="uk-UA"/>
        </w:rPr>
        <w:t>кладника, відкритий в Банку</w:t>
      </w:r>
      <w:r w:rsidR="00536BA9">
        <w:rPr>
          <w:rFonts w:ascii="Times New Roman" w:hAnsi="Times New Roman" w:cs="Times New Roman"/>
          <w:sz w:val="28"/>
          <w:szCs w:val="28"/>
        </w:rPr>
        <w:t>.</w:t>
      </w:r>
    </w:p>
    <w:sectPr w:rsidR="00275FE5" w:rsidRPr="00536BA9" w:rsidSect="00045519">
      <w:headerReference w:type="default" r:id="rId8"/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3A0" w:rsidRDefault="003553A0" w:rsidP="00C601D3">
      <w:pPr>
        <w:spacing w:after="0" w:line="240" w:lineRule="auto"/>
      </w:pPr>
      <w:r>
        <w:separator/>
      </w:r>
    </w:p>
  </w:endnote>
  <w:endnote w:type="continuationSeparator" w:id="0">
    <w:p w:rsidR="003553A0" w:rsidRDefault="003553A0" w:rsidP="00C6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3A0" w:rsidRDefault="003553A0" w:rsidP="00C601D3">
      <w:pPr>
        <w:spacing w:after="0" w:line="240" w:lineRule="auto"/>
      </w:pPr>
      <w:r>
        <w:separator/>
      </w:r>
    </w:p>
  </w:footnote>
  <w:footnote w:type="continuationSeparator" w:id="0">
    <w:p w:rsidR="003553A0" w:rsidRDefault="003553A0" w:rsidP="00C6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D3" w:rsidRDefault="00C601D3">
    <w:pPr>
      <w:pStyle w:val="Header"/>
    </w:pPr>
    <w:r w:rsidRPr="00BE6FFD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8A59C12" wp14:editId="64613CDF">
          <wp:simplePos x="0" y="0"/>
          <wp:positionH relativeFrom="page">
            <wp:posOffset>129540</wp:posOffset>
          </wp:positionH>
          <wp:positionV relativeFrom="page">
            <wp:posOffset>29845</wp:posOffset>
          </wp:positionV>
          <wp:extent cx="1335600" cy="561600"/>
          <wp:effectExtent l="0" t="0" r="0" b="0"/>
          <wp:wrapNone/>
          <wp:docPr id="1295984660" name="Picture 1295984660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6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B70"/>
    <w:multiLevelType w:val="multilevel"/>
    <w:tmpl w:val="1D86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F6"/>
    <w:rsid w:val="00045519"/>
    <w:rsid w:val="00046B41"/>
    <w:rsid w:val="000A14F8"/>
    <w:rsid w:val="000D65BF"/>
    <w:rsid w:val="001354D3"/>
    <w:rsid w:val="00135D32"/>
    <w:rsid w:val="001421EB"/>
    <w:rsid w:val="001572DE"/>
    <w:rsid w:val="001A3964"/>
    <w:rsid w:val="001B2983"/>
    <w:rsid w:val="00257DBF"/>
    <w:rsid w:val="00265940"/>
    <w:rsid w:val="00275FE5"/>
    <w:rsid w:val="0034508B"/>
    <w:rsid w:val="003553A0"/>
    <w:rsid w:val="00391C4D"/>
    <w:rsid w:val="003F1473"/>
    <w:rsid w:val="004B2860"/>
    <w:rsid w:val="00536BA9"/>
    <w:rsid w:val="005906CB"/>
    <w:rsid w:val="005A50FE"/>
    <w:rsid w:val="005B1CD3"/>
    <w:rsid w:val="005B4EDC"/>
    <w:rsid w:val="0071242D"/>
    <w:rsid w:val="007B60B7"/>
    <w:rsid w:val="00813B4E"/>
    <w:rsid w:val="008A1FF6"/>
    <w:rsid w:val="00975887"/>
    <w:rsid w:val="00AF442F"/>
    <w:rsid w:val="00B03E6E"/>
    <w:rsid w:val="00B83648"/>
    <w:rsid w:val="00BB3A09"/>
    <w:rsid w:val="00C601D3"/>
    <w:rsid w:val="00C61B3F"/>
    <w:rsid w:val="00C81947"/>
    <w:rsid w:val="00CA0B7C"/>
    <w:rsid w:val="00CA343D"/>
    <w:rsid w:val="00D66E39"/>
    <w:rsid w:val="00DB3A79"/>
    <w:rsid w:val="00DE4242"/>
    <w:rsid w:val="00DF0DB7"/>
    <w:rsid w:val="00E4740A"/>
    <w:rsid w:val="00EA02E1"/>
    <w:rsid w:val="00F42D44"/>
    <w:rsid w:val="00F60AE6"/>
    <w:rsid w:val="00FB15FF"/>
    <w:rsid w:val="00FD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3F623E-7FA3-49C4-903E-B3750DF4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A1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A1F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l">
    <w:name w:val="tl"/>
    <w:basedOn w:val="Normal"/>
    <w:rsid w:val="008A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">
    <w:name w:val="tc"/>
    <w:basedOn w:val="Normal"/>
    <w:rsid w:val="008A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Normal"/>
    <w:rsid w:val="008A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rd-blue-color">
    <w:name w:val="hard-blue-color"/>
    <w:basedOn w:val="DefaultParagraphFont"/>
    <w:rsid w:val="008A1FF6"/>
  </w:style>
  <w:style w:type="paragraph" w:customStyle="1" w:styleId="tj">
    <w:name w:val="tj"/>
    <w:basedOn w:val="Normal"/>
    <w:rsid w:val="008A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813B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7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4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01D3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1D3"/>
  </w:style>
  <w:style w:type="paragraph" w:styleId="Footer">
    <w:name w:val="footer"/>
    <w:basedOn w:val="Normal"/>
    <w:link w:val="FooterChar"/>
    <w:uiPriority w:val="99"/>
    <w:unhideWhenUsed/>
    <w:rsid w:val="00C601D3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5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1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8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24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0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exentbank.com.ua/&#1087;&#1088;&#1080;&#1074;&#1072;&#1090;&#1085;&#1080;&#1084;-&#1082;&#1083;&#1110;&#1108;&#1085;&#1090;&#1072;&#1084;/potochnii-rakhun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Credit Europe Bank Ukraine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Kotlyar</dc:creator>
  <cp:lastModifiedBy>Mykola Penkovskyi</cp:lastModifiedBy>
  <cp:revision>14</cp:revision>
  <cp:lastPrinted>2020-08-21T14:43:00Z</cp:lastPrinted>
  <dcterms:created xsi:type="dcterms:W3CDTF">2020-08-25T07:47:00Z</dcterms:created>
  <dcterms:modified xsi:type="dcterms:W3CDTF">2025-06-27T12:57:00Z</dcterms:modified>
</cp:coreProperties>
</file>