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B" w:rsidRPr="000A4BF8" w:rsidRDefault="00295F07" w:rsidP="0074099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FF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422C0B" wp14:editId="52A06535">
            <wp:simplePos x="0" y="0"/>
            <wp:positionH relativeFrom="page">
              <wp:posOffset>723900</wp:posOffset>
            </wp:positionH>
            <wp:positionV relativeFrom="page">
              <wp:posOffset>161925</wp:posOffset>
            </wp:positionV>
            <wp:extent cx="1334770" cy="552450"/>
            <wp:effectExtent l="0" t="0" r="0" b="0"/>
            <wp:wrapNone/>
            <wp:docPr id="1295984660" name="Picture 1295984660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515" cy="55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8B" w:rsidRPr="000A4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  <w:r w:rsidR="0074099A">
        <w:rPr>
          <w:rFonts w:ascii="Times New Roman" w:hAnsi="Times New Roman" w:cs="Times New Roman"/>
          <w:b/>
          <w:sz w:val="28"/>
          <w:szCs w:val="28"/>
          <w:lang w:val="uk-UA"/>
        </w:rPr>
        <w:t>ТА ПОРЯДОК ПРИДБАННЯ КЛІЄНТОМ ПАКЕТУ</w:t>
      </w:r>
    </w:p>
    <w:p w:rsidR="00E4740A" w:rsidRPr="00B03E6E" w:rsidRDefault="0074099A" w:rsidP="00E474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4099A">
        <w:rPr>
          <w:rFonts w:ascii="Times New Roman" w:hAnsi="Times New Roman" w:cs="Times New Roman"/>
          <w:b/>
          <w:sz w:val="28"/>
          <w:szCs w:val="28"/>
          <w:lang w:val="uk-UA"/>
        </w:rPr>
        <w:t>БАНКІВСЬКИХ ПОСЛУГ ДЕПОЗИТУ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0A" w:rsidRPr="00B03E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A335B">
        <w:rPr>
          <w:rFonts w:ascii="Times New Roman" w:hAnsi="Times New Roman" w:cs="Times New Roman"/>
          <w:b/>
          <w:sz w:val="28"/>
          <w:szCs w:val="28"/>
          <w:lang w:val="uk-UA"/>
        </w:rPr>
        <w:t>ПРИБУТКОВ</w:t>
      </w:r>
      <w:r w:rsidR="00E4740A" w:rsidRPr="00B03E6E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E4740A" w:rsidRPr="00B03E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479"/>
        <w:gridCol w:w="5867"/>
      </w:tblGrid>
      <w:tr w:rsidR="00E4740A" w:rsidRPr="00B03E6E" w:rsidTr="00E4740A">
        <w:tc>
          <w:tcPr>
            <w:tcW w:w="534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6061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особи</w:t>
            </w:r>
          </w:p>
        </w:tc>
      </w:tr>
      <w:tr w:rsidR="00E4740A" w:rsidRPr="00295F07" w:rsidTr="00FD4312">
        <w:tc>
          <w:tcPr>
            <w:tcW w:w="534" w:type="dxa"/>
            <w:vAlign w:val="center"/>
          </w:tcPr>
          <w:p w:rsidR="00E4740A" w:rsidRPr="00B03E6E" w:rsidRDefault="00E4740A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vAlign w:val="center"/>
          </w:tcPr>
          <w:p w:rsidR="00E4740A" w:rsidRPr="00B03E6E" w:rsidRDefault="00E4740A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депозитної програми</w:t>
            </w:r>
          </w:p>
        </w:tc>
        <w:tc>
          <w:tcPr>
            <w:tcW w:w="6061" w:type="dxa"/>
            <w:vAlign w:val="center"/>
          </w:tcPr>
          <w:p w:rsidR="00E4740A" w:rsidRPr="00B03E6E" w:rsidRDefault="00E4740A" w:rsidP="001A3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на обслуговування нових кл</w:t>
            </w:r>
            <w:r w:rsidR="001A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єнтів-фізичних осіб, збільшення клієнтської та ресурсної бази Банку.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Строковий вклад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Валюта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Гривня, долар США, Євро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Мінімальна сума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1A335B" w:rsidP="001A33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</w:t>
            </w:r>
            <w:r w:rsidR="00FD4312"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гривень;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  <w:r w:rsidR="00FD4312"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доларів США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 w:rsidR="00FD4312"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7 днів до 732 днів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Процентна ставка за вкладом</w:t>
            </w:r>
            <w:r w:rsidR="00963E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% річних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Фіксована на весь строк вкладу, затверджується рішенням КУАП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орядок виплати процентів за вкладом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етод нарахування 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процентів за вкладом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рідше одного разу на місяць, методом факт/факт. При розрахунку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процентів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враховується день надходження вкладу в Банк та 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строку вкладу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Можливість капіталізації процентів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Поповнення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42D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ожливість  дострокового отримання </w:t>
            </w:r>
            <w:r w:rsidR="00F4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 або всієї суми вкладу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FD4312" w:rsidRPr="00F13699" w:rsidRDefault="00F13699" w:rsidP="00754D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Автоматична пролонгація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F42D44" w:rsidP="00F42D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Повернення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8813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перерахування на </w:t>
            </w:r>
            <w:r w:rsidR="00881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рахунок </w:t>
            </w:r>
            <w:r w:rsidR="00881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ладника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внесення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8813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Списання Банком з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поточного рахунку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1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кладника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543" w:type="dxa"/>
            <w:vAlign w:val="center"/>
          </w:tcPr>
          <w:p w:rsidR="00FD4312" w:rsidRPr="00FD4312" w:rsidRDefault="001B2983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Умови обслуговування поточного рахунку вкладника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8813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рахунок </w:t>
            </w:r>
            <w:r w:rsidR="00881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кладника обслуговується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гідно Тарифів Банку </w:t>
            </w:r>
          </w:p>
        </w:tc>
      </w:tr>
      <w:tr w:rsidR="00FD4312" w:rsidRPr="00B03E6E" w:rsidTr="00E4740A">
        <w:tc>
          <w:tcPr>
            <w:tcW w:w="534" w:type="dxa"/>
          </w:tcPr>
          <w:p w:rsidR="00FD4312" w:rsidRPr="00FD4312" w:rsidRDefault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D4312" w:rsidRPr="00FD4312" w:rsidRDefault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</w:tcPr>
          <w:p w:rsidR="00FD4312" w:rsidRPr="00B03E6E" w:rsidRDefault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40A" w:rsidRDefault="00E474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40A" w:rsidSect="008A1FF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6"/>
    <w:rsid w:val="00046B41"/>
    <w:rsid w:val="001354D3"/>
    <w:rsid w:val="001647BD"/>
    <w:rsid w:val="001A335B"/>
    <w:rsid w:val="001A3964"/>
    <w:rsid w:val="001B2983"/>
    <w:rsid w:val="0021298B"/>
    <w:rsid w:val="002535A7"/>
    <w:rsid w:val="00257DBF"/>
    <w:rsid w:val="00265940"/>
    <w:rsid w:val="00275FE5"/>
    <w:rsid w:val="00295F07"/>
    <w:rsid w:val="0034508B"/>
    <w:rsid w:val="00391C4D"/>
    <w:rsid w:val="003F1473"/>
    <w:rsid w:val="004B2860"/>
    <w:rsid w:val="005A50FE"/>
    <w:rsid w:val="005B328F"/>
    <w:rsid w:val="005B4EDC"/>
    <w:rsid w:val="006528F1"/>
    <w:rsid w:val="00676B62"/>
    <w:rsid w:val="0069268C"/>
    <w:rsid w:val="0071242D"/>
    <w:rsid w:val="0074099A"/>
    <w:rsid w:val="00754D21"/>
    <w:rsid w:val="00813B4E"/>
    <w:rsid w:val="00881354"/>
    <w:rsid w:val="008A1FF6"/>
    <w:rsid w:val="008F66B0"/>
    <w:rsid w:val="00963EFF"/>
    <w:rsid w:val="00975887"/>
    <w:rsid w:val="00A1121B"/>
    <w:rsid w:val="00B03E6E"/>
    <w:rsid w:val="00B83648"/>
    <w:rsid w:val="00BB3A09"/>
    <w:rsid w:val="00C61B3F"/>
    <w:rsid w:val="00CA0B7C"/>
    <w:rsid w:val="00CA343D"/>
    <w:rsid w:val="00CA513E"/>
    <w:rsid w:val="00D66E39"/>
    <w:rsid w:val="00DB3A79"/>
    <w:rsid w:val="00DF0DB7"/>
    <w:rsid w:val="00E4740A"/>
    <w:rsid w:val="00F13261"/>
    <w:rsid w:val="00F13699"/>
    <w:rsid w:val="00F42D44"/>
    <w:rsid w:val="00F60AE6"/>
    <w:rsid w:val="00FB15FF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9317-20E6-4439-B93B-6EADD09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DefaultParagraphFont"/>
    <w:rsid w:val="008A1FF6"/>
  </w:style>
  <w:style w:type="paragraph" w:customStyle="1" w:styleId="tj">
    <w:name w:val="tj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3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3</cp:revision>
  <cp:lastPrinted>2023-06-16T13:19:00Z</cp:lastPrinted>
  <dcterms:created xsi:type="dcterms:W3CDTF">2025-06-27T10:59:00Z</dcterms:created>
  <dcterms:modified xsi:type="dcterms:W3CDTF">2025-06-27T11:00:00Z</dcterms:modified>
</cp:coreProperties>
</file>